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9781" w:right="-2"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</w:t>
      </w:r>
    </w:p>
    <w:p>
      <w:pPr>
        <w:pStyle w:val="Normal"/>
        <w:widowControl w:val="false"/>
        <w:spacing w:lineRule="auto" w:line="240" w:before="0" w:after="0"/>
        <w:ind w:left="9781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государственной программе «Обеспе-чение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>
      <w:pPr>
        <w:pStyle w:val="Normal"/>
        <w:widowControl w:val="false"/>
        <w:spacing w:lineRule="auto" w:line="240" w:before="0" w:after="0"/>
        <w:ind w:left="4111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Справочная информация к подпрограмме «Автомобильные дороги»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государственной программы «Обеспечение реализации государственных полномочий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области строительства, </w:t>
      </w:r>
      <w:r>
        <w:rPr>
          <w:rFonts w:ascii="Times New Roman" w:hAnsi="Times New Roman"/>
          <w:sz w:val="28"/>
          <w:szCs w:val="28"/>
        </w:rPr>
        <w:t>архитектуры и развитие дорожного хозяйства Брянской области»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right"/>
        <w:outlineLvl w:val="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Таблица 1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</w:r>
      <w:bookmarkStart w:id="0" w:name="P1639"/>
      <w:bookmarkStart w:id="1" w:name="P1639"/>
      <w:bookmarkEnd w:id="1"/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Перечень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объектов строительства и реконструкции автомобильных дорого общего пользования,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финансируемых в рамках подпрограммы «Автомобильные дороги»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за счет средств дорожного фонда Брянской области в 2022 году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</w:r>
    </w:p>
    <w:tbl>
      <w:tblPr>
        <w:tblW w:w="14584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08"/>
        <w:gridCol w:w="2846"/>
        <w:gridCol w:w="1407"/>
        <w:gridCol w:w="1419"/>
        <w:gridCol w:w="2266"/>
        <w:gridCol w:w="1976"/>
        <w:gridCol w:w="1987"/>
        <w:gridCol w:w="1973"/>
      </w:tblGrid>
      <w:tr>
        <w:trPr>
          <w:trHeight w:val="420" w:hRule="atLeast"/>
          <w:cantSplit w:val="true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Мощность по проектно-сметной доку-ментации, км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ввода в эксплуа-тацию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всего, рублей</w:t>
            </w:r>
          </w:p>
        </w:tc>
        <w:tc>
          <w:tcPr>
            <w:tcW w:w="5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>
        <w:trPr>
          <w:trHeight w:val="554" w:hRule="atLeast"/>
          <w:cantSplit w:val="true"/>
        </w:trPr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МБТ из федерального бюджета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>
        <w:trPr>
          <w:trHeight w:val="63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Автомобильные дороги регионального значения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2 750 350,00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2 750 350,00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строительства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1 346 350,00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1 346 350,00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реконструкции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1 404 000,00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1 404 000,00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157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автомобильной дороги Сельцо-Бетово на участке км 0+000 - км 4+420 в Брянском районе Брянской области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1 404 000,00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1 404 000,00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57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автомобильной дороги ст. Чернетово - м-н Первомайский г. Сельцо в Брянском районе Брянской области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1 346 350,00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1 346 350,00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63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Автомобильные дороги местного значения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9,911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269 006 824,76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255 556 483,52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13 450 341,24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строительства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9,581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259 468 276,34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246 494 862,52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12 973 413,82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реконструкции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9 538 548,42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9 061 621,00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476 927,42</w:t>
            </w:r>
          </w:p>
        </w:tc>
      </w:tr>
      <w:tr>
        <w:trPr>
          <w:trHeight w:val="157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объекта «Автодорога по ул. Счастливой (от ул. Объездной до ул. Советской) в Советском районе г. Брянска»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73 259 256,84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69 596 294,00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3 662 962,84</w:t>
            </w:r>
          </w:p>
        </w:tc>
      </w:tr>
      <w:tr>
        <w:trPr>
          <w:trHeight w:val="1791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 автодорог по ул. Бежицкой (от ул. Объездной до дома № 280 по ул. Бежицкой), ул. Объездной (от ул. Городищенской до ул. Бежицкой) в Бежицком районе г. Брянска (2 этап)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9 538 548,42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9 061 621,00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476 927,42</w:t>
            </w:r>
          </w:p>
        </w:tc>
      </w:tr>
      <w:tr>
        <w:trPr>
          <w:trHeight w:val="1186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автомобильных дорог в ГУП ОНО ОПХ «Черемушки» в  д. Дубровка Брянского района Брянской области (5 этап)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8,537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131 720 487,37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125 134 463,00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6 586 024,37</w:t>
            </w:r>
          </w:p>
        </w:tc>
      </w:tr>
      <w:tr>
        <w:trPr>
          <w:trHeight w:val="1464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автомобильной дороги - защитной дамбы Брянск 1 - Брянск 2 г. Брянска (2 этап)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0,594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54 488 532,13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51 764 105,52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2 724 426,61</w:t>
            </w:r>
          </w:p>
        </w:tc>
      </w:tr>
      <w:tr>
        <w:trPr>
          <w:trHeight w:val="7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2022 году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14,931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271 757 174,76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258 306 833,52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13 450 341,24</w:t>
            </w:r>
          </w:p>
        </w:tc>
      </w:tr>
      <w:tr>
        <w:trPr>
          <w:trHeight w:val="7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строительства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10,181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260 814 626,34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247 841 212,52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12 973 413,82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реконструкции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4,75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10 942 548,42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10 465 621,00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476 927,42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2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Перечень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объектов строительства и реконструкции автомобильных дорог общего пользования,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финансируемых в рамках подпрограммы «Автомобильные дороги»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 дорожного фонда Брянской области в 2023 году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</w:r>
    </w:p>
    <w:tbl>
      <w:tblPr>
        <w:tblW w:w="14584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08"/>
        <w:gridCol w:w="2835"/>
        <w:gridCol w:w="1418"/>
        <w:gridCol w:w="1418"/>
        <w:gridCol w:w="2269"/>
        <w:gridCol w:w="1974"/>
        <w:gridCol w:w="1987"/>
        <w:gridCol w:w="1973"/>
      </w:tblGrid>
      <w:tr>
        <w:trPr>
          <w:trHeight w:val="420" w:hRule="atLeast"/>
          <w:cantSplit w:val="true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Мощность по проектно-сметной доку-ментации, км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ввода в эксплуа-тацию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всего, рублей</w:t>
            </w:r>
          </w:p>
        </w:tc>
        <w:tc>
          <w:tcPr>
            <w:tcW w:w="5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>
        <w:trPr>
          <w:trHeight w:val="444" w:hRule="atLeast"/>
          <w:cantSplit w:val="true"/>
        </w:trPr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МБТ из федерального бюджета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>
        <w:trPr>
          <w:trHeight w:val="63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Автомобильные дороги регионального значения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71 990 652,00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71 990 652,00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строительства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19 590 652,00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19 590 652,00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реконструкции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52 400 000,00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52 400 000,00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157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автомобильной дороги Сельцо-Бетово на участке км 0+000 - км 4+420 в Брянском районе Брянской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52 400 000,00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52 400 000,00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26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автомобильной дороги ст.Чернетово - м-н Первомайский г.Сельцо в Брянском районе Брянской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19 590 652,00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19 590 652,00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63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Автомобильные дороги местного значения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124 746 170,00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118 508 861,50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6 237 308,50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строительства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124746170,000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118 508 861,500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6 237 308,50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реконструкции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986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автомобильных дорог в ГУП ОНО ОПХ «Черемушки» в  д. Дубровка Брянского района Брянской области (6 этап)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124 746 170,00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118 508 861,50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6 237 308,50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2023 году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196 736 822,00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190 499 513,50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6 237 308,50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строительства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144 336 822,00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138 099 513,50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6 237 308,50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реконструкции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52 400 000,00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52 400 000,00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Перечень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объектов строительства и реконструкции автомобильных дорог общего пользования,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финансируемых в рамках подпрограммы «Автомобильные дороги»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счет средств дорожного фонда Брянской области в 2024 году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</w:r>
    </w:p>
    <w:tbl>
      <w:tblPr>
        <w:tblW w:w="14584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08"/>
        <w:gridCol w:w="2835"/>
        <w:gridCol w:w="1418"/>
        <w:gridCol w:w="1418"/>
        <w:gridCol w:w="2269"/>
        <w:gridCol w:w="1974"/>
        <w:gridCol w:w="1987"/>
        <w:gridCol w:w="1973"/>
      </w:tblGrid>
      <w:tr>
        <w:trPr>
          <w:trHeight w:val="70" w:hRule="atLeast"/>
          <w:cantSplit w:val="true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Мощность по проектно-сметной доку-ментации, км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ввода в эксплуа-тацию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всего, рублей</w:t>
            </w:r>
          </w:p>
        </w:tc>
        <w:tc>
          <w:tcPr>
            <w:tcW w:w="5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>
        <w:trPr>
          <w:trHeight w:val="444" w:hRule="atLeast"/>
          <w:cantSplit w:val="true"/>
        </w:trPr>
        <w:tc>
          <w:tcPr>
            <w:tcW w:w="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МБТ из федерального бюджета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>
        <w:trPr>
          <w:trHeight w:val="63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Автомобильные дороги регионального значения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216 198 958,00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216 198 958,00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строительства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150 000 000,00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150 000 000,00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реконструкции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66 198 958,00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66 198 958,00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157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Строительство моста через реку Десна на км 1+250 автомобильной дороги Подъезд к д.Сельцо в Брянском районе Брянской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150 000 000,00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150 000 000,00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260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автомобильной дороги Сельцо-Бетово на участке км 0+000 - км 4+420 в Брянском районе Брянской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66 198 958,00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66 198 958,00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59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в 2024 году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216 198 958,00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216 198 958,00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строительства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150 000 000,00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150 000 000,00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>
        <w:trPr>
          <w:trHeight w:val="315" w:hRule="atLeast"/>
          <w:cantSplit w:val="true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реконструкции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66 198 958,00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66 198 958,00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2" w:name="P2434"/>
      <w:bookmarkEnd w:id="2"/>
      <w:r>
        <w:rPr>
          <w:rFonts w:ascii="Times New Roman" w:hAnsi="Times New Roman"/>
          <w:sz w:val="28"/>
          <w:szCs w:val="28"/>
          <w:lang w:eastAsia="ru-RU"/>
        </w:rPr>
        <w:t>Ресурсное обеспечение мероприятий регионального проекта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«Региональная и местная дорожная сеть» федерального проекта «Региональная и местная дорожная сеть»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национального проекта «Безопасные качественные дороги»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W w:w="15130" w:type="dxa"/>
        <w:jc w:val="left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51"/>
        <w:gridCol w:w="3454"/>
        <w:gridCol w:w="1400"/>
        <w:gridCol w:w="1660"/>
        <w:gridCol w:w="1820"/>
        <w:gridCol w:w="1540"/>
        <w:gridCol w:w="1519"/>
        <w:gridCol w:w="1360"/>
        <w:gridCol w:w="1324"/>
      </w:tblGrid>
      <w:tr>
        <w:trPr>
          <w:trHeight w:val="443" w:hRule="atLeast"/>
        </w:trPr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результата и источники финансирования</w:t>
            </w:r>
          </w:p>
        </w:tc>
        <w:tc>
          <w:tcPr>
            <w:tcW w:w="929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  <w:br/>
              <w:t>(тыс. рублей)</w:t>
            </w:r>
          </w:p>
        </w:tc>
      </w:tr>
      <w:tr>
        <w:trPr>
          <w:trHeight w:val="443" w:hRule="atLeast"/>
        </w:trPr>
        <w:tc>
          <w:tcPr>
            <w:tcW w:w="10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411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7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Выполнены дорожные работы на сети автомобильных дорог общего пользования регионального и межмуниципального значения, дорожной сети Брянской городской агломерации в целях приведения в нормативное состояние, снижения уровня перегрузки и ликвидации мест концентрации дорожно-транспортных происшествий, выполнена модернизация дорожной инфраструктуры, направленная на устранение аварийного и предаварийного состояния искусственных сооружений, входящих в состав Брянской городской агломерации, модернизация дорожной инфраструктуры в городской агломерации, осуществляемая в том числе во исполнение указаний, поручений или актов Президента Российской Федерации и (или) Правительства Российской Федерации</w:t>
            </w:r>
          </w:p>
        </w:tc>
      </w:tr>
      <w:tr>
        <w:trPr>
          <w:trHeight w:val="735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1 618 330,49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1 789 753,10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2 920 189,15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1 555 886,53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1 718 885,60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3 958 200,00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13 561 244,87</w:t>
            </w:r>
          </w:p>
        </w:tc>
      </w:tr>
      <w:tr>
        <w:trPr>
          <w:trHeight w:val="315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бюджет субъекта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1 542 770,37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1 720 159,94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2 801 625,74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1 504 168,28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1 661 350,70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1 937 950,55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11 168 025,57</w:t>
            </w:r>
          </w:p>
        </w:tc>
      </w:tr>
      <w:tr>
        <w:trPr>
          <w:trHeight w:val="315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местным бюджетам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1 435 642,26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1 322 270,11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2 252 704,90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982 646,68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1 093 163,04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1 279 235,78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8 365 662,78</w:t>
            </w:r>
          </w:p>
        </w:tc>
      </w:tr>
      <w:tr>
        <w:trPr>
          <w:trHeight w:val="630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1.1.3.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свод бюджетов Муниципальных образований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1 511 202,38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1 391 863,27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2 371 268,32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1 034 364,93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1 150 697,94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1 346 563,98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8 805 960,82</w:t>
            </w:r>
          </w:p>
        </w:tc>
      </w:tr>
      <w:tr>
        <w:trPr>
          <w:trHeight w:val="1575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источники, всего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>
          <w:trHeight w:val="70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07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сети автомобильных дорог общего пользования регионального или межмуниципального значения, дорожной сети городских агломераций выполнены дорожные работы в целях приведения в нормативное состояние, снижения уровня перегрузки и ликвидации мест концентрации дорожно-транспортных происшествий (за счет средств, предоставленных в 2020 году из резервного фонда Правительства Российской Федерации)</w:t>
            </w:r>
          </w:p>
        </w:tc>
      </w:tr>
      <w:tr>
        <w:trPr>
          <w:trHeight w:val="735" w:hRule="atLeast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34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925 987,68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925 987,68</w:t>
            </w:r>
          </w:p>
        </w:tc>
      </w:tr>
      <w:tr>
        <w:trPr>
          <w:trHeight w:val="315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бюджет субъекта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885 514,00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885 514,00</w:t>
            </w:r>
          </w:p>
        </w:tc>
      </w:tr>
      <w:tr>
        <w:trPr>
          <w:trHeight w:val="315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местным бюджетам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769 000,00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769 000,00</w:t>
            </w:r>
          </w:p>
        </w:tc>
      </w:tr>
      <w:tr>
        <w:trPr>
          <w:trHeight w:val="630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свод бюджетов Муниципальных образований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809 473,68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809 473,68</w:t>
            </w:r>
          </w:p>
        </w:tc>
      </w:tr>
      <w:tr>
        <w:trPr>
          <w:trHeight w:val="1575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>
          <w:trHeight w:val="458" w:hRule="atLeast"/>
        </w:trPr>
        <w:tc>
          <w:tcPr>
            <w:tcW w:w="10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45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источники, всего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РЕГИОНАЛЬНОМУ ПРОЕКТУ: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1 618 330,49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2 715 740,79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2 920 189,15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1 576 939,16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1 718 885,60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3 958 200,00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14 508 285,18</w:t>
            </w:r>
          </w:p>
        </w:tc>
      </w:tr>
      <w:tr>
        <w:trPr>
          <w:trHeight w:val="315" w:hRule="atLeast"/>
        </w:trPr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консолидированный бюджет субъекта</w:t>
              <w:br/>
              <w:t>Российской Федерации, из них: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1 618 330,49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2 715 740,79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2 920 189,15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1 576 939,16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1 718 885,60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3 958 200,00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14 508 285,18</w:t>
            </w:r>
          </w:p>
        </w:tc>
      </w:tr>
      <w:tr>
        <w:trPr>
          <w:trHeight w:val="650" w:hRule="atLeast"/>
        </w:trPr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бюджет субъекта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1 542 770,37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2 605 673,94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2 801 625,74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1 504 168,28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1 661 350,70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1 937 950,55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12 053 539,57</w:t>
            </w:r>
          </w:p>
        </w:tc>
      </w:tr>
      <w:tr>
        <w:trPr>
          <w:trHeight w:val="315" w:hRule="atLeast"/>
        </w:trPr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свод бюджетов Муниципальных образований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1 511 202,38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2 201 336,96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2 371 268,32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1 034 364,93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1 150 697,94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1 346 563,98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9 615 434,5</w:t>
            </w:r>
          </w:p>
        </w:tc>
      </w:tr>
      <w:tr>
        <w:trPr>
          <w:trHeight w:val="735" w:hRule="atLeast"/>
        </w:trPr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бюджеты территориальных государственных </w:t>
              <w:br/>
              <w:t xml:space="preserve">  внебюджетных фондов(бюджетам </w:t>
              <w:br/>
              <w:t xml:space="preserve">  территориальных фондов </w:t>
              <w:br/>
              <w:t xml:space="preserve">  обязательного медицинского страхования)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1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Таблица 5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bookmarkStart w:id="3" w:name="P2701"/>
      <w:bookmarkEnd w:id="3"/>
      <w:r>
        <w:rPr>
          <w:rFonts w:ascii="Times New Roman" w:hAnsi="Times New Roman"/>
          <w:sz w:val="28"/>
          <w:lang w:eastAsia="ru-RU"/>
        </w:rPr>
        <w:t>Финансовое обеспечение реализации регионального проекта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«Общесистемные меры развития дорожного хозяйства»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</w:r>
    </w:p>
    <w:tbl>
      <w:tblPr>
        <w:tblW w:w="15005" w:type="dxa"/>
        <w:jc w:val="left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324"/>
        <w:gridCol w:w="960"/>
        <w:gridCol w:w="960"/>
        <w:gridCol w:w="961"/>
        <w:gridCol w:w="960"/>
        <w:gridCol w:w="959"/>
        <w:gridCol w:w="960"/>
        <w:gridCol w:w="959"/>
      </w:tblGrid>
      <w:tr>
        <w:trPr>
          <w:trHeight w:val="300" w:hRule="atLeast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7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результата и источники финансирования</w:t>
            </w:r>
          </w:p>
        </w:tc>
        <w:tc>
          <w:tcPr>
            <w:tcW w:w="5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Объем финансового обеспечения по годам реализации (млн.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Всего</w:t>
            </w:r>
          </w:p>
        </w:tc>
      </w:tr>
      <w:tr>
        <w:trPr>
          <w:trHeight w:val="600" w:hRule="atLeast"/>
        </w:trPr>
        <w:tc>
          <w:tcPr>
            <w:tcW w:w="9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W w:w="7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 год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 год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 год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(млн. рублей)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14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Результат федерального проекта (справочно из паспорта федерального проекта): 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 (накопленным итогом)</w:t>
            </w:r>
          </w:p>
        </w:tc>
      </w:tr>
      <w:tr>
        <w:trPr>
          <w:trHeight w:val="923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 (накопленным итогом)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103,89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201,40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195,42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500,71</w:t>
            </w:r>
          </w:p>
        </w:tc>
      </w:tr>
      <w:tr>
        <w:trPr>
          <w:trHeight w:val="524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бюджет (в том числе межбюджетные трансферы бюджету) (Брянская область)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533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1.1.2.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527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1.1.3.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103,89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201,40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195,42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500,71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1.1.3.1.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субъекта Российской Федерации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103,89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201,40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195,42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500,71</w:t>
            </w:r>
          </w:p>
        </w:tc>
      </w:tr>
      <w:tr>
        <w:trPr>
          <w:trHeight w:val="503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1.1.3.2.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525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1.1.3.3.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1.1.4.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585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14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Результат федерального проекта (справочно из паспорта федерального проекта): увеличение количества стационарных камер фотовидеофиксации нарушений Правил дорожного движения на автомобильных дорогах федерального, регионального или межмуниципального, местного значения до 211% от базового количества 2017 года</w:t>
            </w:r>
          </w:p>
        </w:tc>
      </w:tr>
      <w:tr>
        <w:trPr>
          <w:trHeight w:val="1073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Увеличение количества стационарных камер фотовидеофиксации нарушений Правил дорожного движения на автомобильных дорогах федерального, регионального или межмуниципального, местного значения до 211% от базового количества 2017 года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46,4</w:t>
            </w:r>
          </w:p>
        </w:tc>
      </w:tr>
      <w:tr>
        <w:trPr>
          <w:trHeight w:val="534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бюджет (в том числе межбюджетные трансферы бюджету) (Брянская область)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53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2.1.2.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6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2.1.3.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46,4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2.1.3.1.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субъекта Российской Федерации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46,4</w:t>
            </w:r>
          </w:p>
        </w:tc>
      </w:tr>
      <w:tr>
        <w:trPr>
          <w:trHeight w:val="319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2.1.3.2.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355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2.1.3.3.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2.1.4.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609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14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Результат федерального проекта (справочно из паспорта федерального проекта):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(64 города, накопленным итогом)</w:t>
            </w:r>
          </w:p>
        </w:tc>
      </w:tr>
      <w:tr>
        <w:trPr>
          <w:trHeight w:val="919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тыс. человек (64 города, накопленным итогом)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</w:tr>
      <w:tr>
        <w:trPr>
          <w:trHeight w:val="437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бюджет (в том числе межбюджетные трансферы бюджету) (Брянская область)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445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3.1.2.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481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3.1.3.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3.1.3.1.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субъекта Российской Федерации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</w:tr>
      <w:tr>
        <w:trPr>
          <w:trHeight w:val="555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3.1.3.2.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534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3.1.3.3.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3.1.4.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>
        <w:trPr>
          <w:trHeight w:val="6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140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Результат федерального проекта (справочно из паспорта федерального проекта): внедрение интеллектуальных транспортных систем, предусматривающих автоматизацию процессов управления дорожным движением на территории Брянской области</w:t>
            </w:r>
          </w:p>
        </w:tc>
      </w:tr>
      <w:tr>
        <w:trPr>
          <w:trHeight w:val="704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на территории Брянской области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</w:tr>
      <w:tr>
        <w:trPr>
          <w:trHeight w:val="474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4.1.1.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бюджет (в том числе межбюджетные трансферы бюджету) (Брянская область)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481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4.1.2.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6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4.1.3.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4.1.3.1.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субъекта Российской Федерации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</w:tr>
      <w:tr>
        <w:trPr>
          <w:trHeight w:val="493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4.1.3.2.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515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4.1.3.3.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4.1.4.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8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Всего по региональному проекту, в том числе: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115,89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199,42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511,71</w:t>
            </w:r>
          </w:p>
        </w:tc>
      </w:tr>
      <w:tr>
        <w:trPr>
          <w:trHeight w:val="447" w:hRule="atLeast"/>
        </w:trPr>
        <w:tc>
          <w:tcPr>
            <w:tcW w:w="8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бюджет (в том числе межбюджетные трансферты бюджету) (Брянская область)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8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государственных внебюджетных фондов Российской Федерации и их территориальных фондов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8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консолидированный бюджет субъекта Российской Федерации, в том числе: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115,89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199,42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611,71</w:t>
            </w:r>
          </w:p>
        </w:tc>
      </w:tr>
      <w:tr>
        <w:trPr>
          <w:trHeight w:val="300" w:hRule="atLeast"/>
        </w:trPr>
        <w:tc>
          <w:tcPr>
            <w:tcW w:w="8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субъекта Российской Федерации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29,65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34,95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115,89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205,4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199,42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611,71</w:t>
            </w:r>
          </w:p>
        </w:tc>
      </w:tr>
      <w:tr>
        <w:trPr>
          <w:trHeight w:val="415" w:hRule="atLeast"/>
        </w:trPr>
        <w:tc>
          <w:tcPr>
            <w:tcW w:w="8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межбюджетные трансферты бюджета субъекта Российской Федерации бюджетам муниципальных образований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690" w:hRule="atLeast"/>
        </w:trPr>
        <w:tc>
          <w:tcPr>
            <w:tcW w:w="8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бюджеты муниципальных образований (без учета межбюджетных трансфертов из бюджета субъекта Российской Федерации)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00" w:hRule="atLeast"/>
        </w:trPr>
        <w:tc>
          <w:tcPr>
            <w:tcW w:w="8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right"/>
        <w:outlineLvl w:val="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Таблица 6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right"/>
        <w:outlineLvl w:val="3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Финансовое обеспечение реализации регионального проекта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«Безопасность дорожного движения»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</w:r>
    </w:p>
    <w:tbl>
      <w:tblPr>
        <w:tblW w:w="15125" w:type="dxa"/>
        <w:jc w:val="left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75"/>
        <w:gridCol w:w="3883"/>
        <w:gridCol w:w="1347"/>
        <w:gridCol w:w="1484"/>
        <w:gridCol w:w="1523"/>
        <w:gridCol w:w="1504"/>
        <w:gridCol w:w="1346"/>
        <w:gridCol w:w="1346"/>
        <w:gridCol w:w="1815"/>
      </w:tblGrid>
      <w:tr>
        <w:trPr>
          <w:trHeight w:val="315" w:hRule="atLeast"/>
        </w:trPr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результата и источники финансирования</w:t>
            </w:r>
          </w:p>
        </w:tc>
        <w:tc>
          <w:tcPr>
            <w:tcW w:w="85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>
        <w:trPr>
          <w:trHeight w:val="315" w:hRule="atLeast"/>
        </w:trPr>
        <w:tc>
          <w:tcPr>
            <w:tcW w:w="8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38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720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Медицинские организации Брянской области оснащены автомобилями скорой медицинской помощи класса «С» для оказания скорой медицинской помощи пациентам, пострадавшим при дорожно-транспортных происшествиях (не менее 7 единиц)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11 423,12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11 423,12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11 423,12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11 423,12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523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 автотранспорт, необходимое оборудование для проведения работ по ликвидации последствий совершения дорожно-транспортных происшествий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409,84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409,84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409,84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409,84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84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научно-методических материалов, программ, печатных и электронных учебных пособий, учебно-методических комплексов и др. для образовательных организаций (обеспечение образовательных организаций комплектами учебных пособий, программ, направленных на формирование у детей стереотипов безопасного поведения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2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тематических информационно-просветительских мероприятий, межгосударственных слетов, всероссийских конкурсов, фестивалей с несовершеннолетними участниками дорожного движения, в том числе общественными формированиями детей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областных массовых мероприятий по профилактике ДТП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527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участия обучающихся в образовательных организациях области во всероссийских конкурсах по профилактике детского дорожно-транспортного травматизма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550,00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870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для дошкольных образовательных организаций оборудования, позволяющего в игровой форме формировать навыки безопасного поведения на дороге</w:t>
            </w:r>
          </w:p>
        </w:tc>
      </w:tr>
      <w:tr>
        <w:trPr>
          <w:trHeight w:val="1084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1 600,00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553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Изготовление и распространение световозвращающих приспособлений среди дошкольников и учащихся младших классов образовательных организаций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1100,00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Устройство (монтаж) светофорных объектов в Брянской области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3 348,17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2 816,45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2 152,80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2 152,80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2 152,80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2152,80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14775,82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3 348,17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2 816,45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2 152,80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2 152,80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2 152,80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2152,80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14775,82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660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Оснащение участков улично-дорожной сети городов и населенных пунктов Брянской области пешеходными ограждениями, в том числе в зоне пешеходных переходов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2 569,73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2 489,18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3424,04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2 798,64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2 798,64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2798,64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16878,87</w:t>
            </w:r>
          </w:p>
        </w:tc>
      </w:tr>
      <w:tr>
        <w:trPr>
          <w:trHeight w:val="630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2 569,73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2 489,18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3424,04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2 798,64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2 798,64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2798,64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16878,87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Устройство тротуаров в населенных пунктах Брянской области</w:t>
            </w:r>
          </w:p>
        </w:tc>
      </w:tr>
      <w:tr>
        <w:trPr>
          <w:trHeight w:val="1081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2 175,89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1 822,46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1835,97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2 461,37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2 461,37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2461,37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13218,43</w:t>
            </w:r>
          </w:p>
        </w:tc>
      </w:tr>
      <w:tr>
        <w:trPr>
          <w:trHeight w:val="630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2 175,89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1 822,46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1835,97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2 461,37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2 461,37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2461,37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13218,43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570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2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государственным учреждениям на приобретение оборудования</w:t>
            </w:r>
          </w:p>
        </w:tc>
      </w:tr>
      <w:tr>
        <w:trPr>
          <w:trHeight w:val="94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394,28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394,28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394,28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1 682,85</w:t>
            </w:r>
          </w:p>
        </w:tc>
      </w:tr>
      <w:tr>
        <w:trPr>
          <w:trHeight w:val="630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12.1.1.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394,28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394,28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394,28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1 682,85</w:t>
            </w:r>
          </w:p>
        </w:tc>
      </w:tr>
      <w:tr>
        <w:trPr>
          <w:trHeight w:val="1575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424" w:hRule="atLeast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источники, всего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 ПО РЕГИОНАЛЬНОМУ ПРОЕКТУ: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20 676,75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8 328,09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8362,81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63638,93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20 676,75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8 328,09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8362,81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63638,93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Российской Федерации, из них: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субъекта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20 676,75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8 328,09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8 757,09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8362,81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63638,93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свод бюджетов Муниципальных образований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бюджеты территориальных государственных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внебюджетных фондов(бюджетам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территориальных фондов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обязательного медицинского страхования)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>
        <w:trPr>
          <w:trHeight w:val="315" w:hRule="atLeast"/>
        </w:trPr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7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Программа мероприятий по строительству и реконструкции автодорожных путепроводов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 местах пересечения железнодорожных путей и автомобильных дорог общего пользования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регионального или межмуниципального и местного значения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</w:p>
    <w:tbl>
      <w:tblPr>
        <w:tblW w:w="14936" w:type="dxa"/>
        <w:jc w:val="left"/>
        <w:tblInd w:w="-3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firstRow="0" w:noVBand="0" w:lastRow="0" w:firstColumn="0" w:lastColumn="0" w:noHBand="0" w:val="0000"/>
      </w:tblPr>
      <w:tblGrid>
        <w:gridCol w:w="454"/>
        <w:gridCol w:w="2848"/>
        <w:gridCol w:w="1020"/>
        <w:gridCol w:w="1361"/>
        <w:gridCol w:w="1304"/>
        <w:gridCol w:w="1076"/>
        <w:gridCol w:w="1304"/>
        <w:gridCol w:w="907"/>
        <w:gridCol w:w="1531"/>
        <w:gridCol w:w="784"/>
        <w:gridCol w:w="1247"/>
        <w:gridCol w:w="1099"/>
      </w:tblGrid>
      <w:tr>
        <w:trPr>
          <w:cantSplit w:val="true"/>
        </w:trPr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работ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Госзаказчик объекта (Росавтодор / ГК «Автодор» / субъект РФ / мун. обр.)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Заказчик разработки проектной документации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завершения разработки проектной докумен-тации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получения положи-тельных заключений государст-венной экспертизы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утвер-ждения проект-ной докумен-тации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передачи проектной документации госзаказчику объекта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(в случае необходимости передачи ПД)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Мощность и стоимость объекта в ценах соответствующих лет</w:t>
            </w:r>
          </w:p>
        </w:tc>
      </w:tr>
      <w:tr>
        <w:trPr>
          <w:trHeight w:val="988" w:hRule="atLeast"/>
          <w:cantSplit w:val="true"/>
        </w:trPr>
        <w:tc>
          <w:tcPr>
            <w:tcW w:w="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пог. м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категория дороги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</w:tr>
      <w:tr>
        <w:trPr>
          <w:trHeight w:val="1326" w:hRule="atLeast"/>
          <w:cantSplit w:val="true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путепровода через ж.д. пути в г. Унеча на автомобильной дороге «Брянск – Новозыбков» – Унеча» км 8 + 225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капиталь-ный ремонт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Администра-ция Унечского района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Администра-ция Унечского района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134,38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Магистраль-ная улица районного значения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490</w:t>
            </w:r>
          </w:p>
        </w:tc>
      </w:tr>
      <w:tr>
        <w:trPr>
          <w:trHeight w:val="1276" w:hRule="atLeast"/>
          <w:cantSplit w:val="true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путепровода через железнодорожные пути ст. Брянск-2 по пр. Московскому в  г. Брянск Брянской области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капиталь-ный ремонт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Брянская городская администра-ция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Брянская городская администра-ция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249,45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Магистраль-ная улица районного значения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</w:tr>
      <w:tr>
        <w:trPr>
          <w:trHeight w:val="1651" w:hRule="atLeast"/>
          <w:cantSplit w:val="true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путепровода через железную дорогу на км 37 + 606 автомобильной дороги Брянск - Дятьково - граница Калужской области в Дятьковском районе Брянской области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капиталь-ный ремонт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ГКУ «УАД Брянской области»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ГКУ «УАД Брянской области»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49,00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>
        <w:trPr>
          <w:trHeight w:val="1243" w:hRule="atLeast"/>
          <w:cantSplit w:val="true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путепровода, на 126 км железной дороги Снежетьская - Брянск Восточный в Фокинском районе г. Брянска Брянской области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строитель-ство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Брянская городская администрация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МКУ «УЖКХ»</w:t>
              <w:br/>
              <w:t>г. Брянска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16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</w:tr>
      <w:tr>
        <w:trPr>
          <w:trHeight w:val="335" w:hRule="atLeast"/>
          <w:cantSplit w:val="true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Брянской области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1312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Программа мероприятий по реконструкции, капитальному ремонту и ремонту находящихся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 предаварийном и аварийном техническом состоянии искусственных сооружений на действующей сети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автомобильных дорог общего пользования регионального или межмуниципального и местного значения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531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82"/>
        <w:gridCol w:w="750"/>
        <w:gridCol w:w="731"/>
        <w:gridCol w:w="2003"/>
        <w:gridCol w:w="1051"/>
        <w:gridCol w:w="1195"/>
        <w:gridCol w:w="1776"/>
        <w:gridCol w:w="918"/>
        <w:gridCol w:w="648"/>
        <w:gridCol w:w="850"/>
        <w:gridCol w:w="568"/>
        <w:gridCol w:w="499"/>
        <w:gridCol w:w="644"/>
        <w:gridCol w:w="649"/>
        <w:gridCol w:w="889"/>
        <w:gridCol w:w="712"/>
        <w:gridCol w:w="852"/>
      </w:tblGrid>
      <w:tr>
        <w:trPr>
          <w:trHeight w:val="230" w:hRule="atLeast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32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Агломерация</w:t>
            </w:r>
          </w:p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Опорная сеть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Оценка технического состояния (предаварийное / аварийное состояние)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Информация об оценке техн. состояния сооружения (вид документа, организация,  год проведения диагностики)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Информация об установлении ограничения/закрытия движения</w:t>
            </w:r>
          </w:p>
        </w:tc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Наличие проектной документации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Наличие положительного заключения экспертизы проектов (год получения)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Продолжительность строительства, реконструкции, капитального ремонта, ремонта, мес.</w:t>
            </w:r>
          </w:p>
        </w:tc>
        <w:tc>
          <w:tcPr>
            <w:tcW w:w="11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Информация о возможности объезда</w:t>
            </w:r>
          </w:p>
        </w:tc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Дата утверждения проектной документации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Мощность объекта, пог.м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 дороги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Стоимость объекта в ценах соответствующих лет, млн.руб</w:t>
            </w:r>
          </w:p>
        </w:tc>
      </w:tr>
      <w:tr>
        <w:trPr>
          <w:trHeight w:val="368" w:hRule="atLeast"/>
        </w:trPr>
        <w:tc>
          <w:tcPr>
            <w:tcW w:w="5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20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0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1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7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14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</w:tr>
      <w:tr>
        <w:trPr>
          <w:trHeight w:val="3690" w:hRule="atLeast"/>
        </w:trPr>
        <w:tc>
          <w:tcPr>
            <w:tcW w:w="5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20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0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1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7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9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протяженность, км</w:t>
            </w:r>
          </w:p>
        </w:tc>
        <w:tc>
          <w:tcPr>
            <w:tcW w:w="6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</w:tr>
      <w:tr>
        <w:trPr>
          <w:trHeight w:val="70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Унеча, в с. Смолевичи на км 8+062 автомобильной дороги Клинцы-Песчанка-Субовичи в Клинцовском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"Транспроект"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установлены ограничения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32-1-0039-20 от 12.02.2020 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91,73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149,07</w:t>
            </w:r>
          </w:p>
        </w:tc>
      </w:tr>
      <w:tr>
        <w:trPr>
          <w:trHeight w:val="177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Брянская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Опорная сеть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ручей в д.Глаженка на км 8+277 автомобильной дороги Брянск-Сельцо в Брянском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32-1-1129-19 от 20.11.2019 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10,92</w:t>
            </w:r>
          </w:p>
        </w:tc>
      </w:tr>
      <w:tr>
        <w:trPr>
          <w:trHeight w:val="168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р.Вабля на км 0+707 на автомобильной дороге подъезд к с.Новое Село в Стародубском муниципальном округе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установлены ограничения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32-1-0032-20 от 10.02.2020 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11,07</w:t>
            </w:r>
          </w:p>
        </w:tc>
      </w:tr>
      <w:tr>
        <w:trPr>
          <w:trHeight w:val="562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ручей в п.Плавна на км 13+570 автомобильной дороги «Стародуб-Климово»-Курозново в Климовском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32-1-1-2-044792-21 от 11.08.2021 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>
        <w:trPr>
          <w:trHeight w:val="213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ручей, д.Тиганово на км 2+082 автомобильной дороги "Брянск-Новозыбков"-Тиганово-Трубчино в Брянском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установлены ограничения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32-1-1173-19 от 20.12.2019 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18,92</w:t>
            </w:r>
          </w:p>
        </w:tc>
      </w:tr>
      <w:tr>
        <w:trPr>
          <w:trHeight w:val="178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Опорная сеть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ручей в д.Беловодка на   км 29+260  автомобильной дороги Клинцы-Сураж в Суражском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32-1-1-2-012745-21 от 22.03.2021 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17,93</w:t>
            </w:r>
          </w:p>
        </w:tc>
      </w:tr>
      <w:tr>
        <w:trPr>
          <w:trHeight w:val="178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Судынка на автодороге по ул.Ворошилова в г.Мглин Мглинского района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Мглинского района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2018 г. ООО "Брянскагропромдорпроект"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Магистральная улица районного значения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31,44</w:t>
            </w:r>
          </w:p>
        </w:tc>
      </w:tr>
      <w:tr>
        <w:trPr>
          <w:trHeight w:val="168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Вабля, с.Посудиси  на  км 8+307 автомобильной дороги Погар-Новые Ивайтенки в Погарском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"Транспроект"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установлены ограничения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32-1-1-2-032949-20 от 22.07.2020 г.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115,74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86,23</w:t>
            </w:r>
          </w:p>
        </w:tc>
      </w:tr>
      <w:tr>
        <w:trPr>
          <w:trHeight w:val="529" w:hRule="atLeast"/>
        </w:trPr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</w:tr>
      <w:tr>
        <w:trPr>
          <w:trHeight w:val="169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р. Судость на</w:t>
              <w:br/>
              <w:t>автомобильной дороге по улице Ленина в городе Почепе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Почепского района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90,88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Магистральная улица районного значения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216,23</w:t>
            </w:r>
          </w:p>
        </w:tc>
      </w:tr>
      <w:tr>
        <w:trPr>
          <w:trHeight w:val="165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Опорная сеть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Мост через реку Уль на км 9+941 автомобильной дороги «Украина» - Суземка в Севском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ежегодный осмотр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113,10</w:t>
            </w:r>
          </w:p>
        </w:tc>
      </w:tr>
      <w:tr>
        <w:trPr>
          <w:trHeight w:val="172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Вага в д.Дубровка на км 5+868 автомобильной дороги Сновское-Рогов-Вербовка в Новозыбковском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18,16</w:t>
            </w:r>
          </w:p>
        </w:tc>
      </w:tr>
      <w:tr>
        <w:trPr>
          <w:trHeight w:val="278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автодорожного моста через реку Московка по ул.Октябрьская в г.Клинцы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Клинцовская городская администрация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удовлетворительное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 о результатах предпроектного обследования ООО "Центр дорожного проектирования"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34,68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62,71</w:t>
            </w:r>
          </w:p>
        </w:tc>
      </w:tr>
      <w:tr>
        <w:trPr>
          <w:trHeight w:val="186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Ипуть на ул.Фабричная в г. Сураж Суражского района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Суражского района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110,80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Магистральная улица районного значения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200,35</w:t>
            </w:r>
          </w:p>
        </w:tc>
      </w:tr>
      <w:tr>
        <w:trPr>
          <w:trHeight w:val="193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Поконка в д.Рудня-Воробьевка на км 2+541 автомобильной дороги Гордеевка-Ширяевка в Гордеевском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33,54</w:t>
            </w:r>
          </w:p>
        </w:tc>
      </w:tr>
      <w:tr>
        <w:trPr>
          <w:trHeight w:val="193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Крапивна на     км 10+380 автомобильной дороги "Украина" - Алтухово в Навлинском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ежегодный осмотр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установлены ограничения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44,12</w:t>
            </w:r>
          </w:p>
        </w:tc>
      </w:tr>
      <w:tr>
        <w:trPr>
          <w:trHeight w:val="238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Шапоревка в с.Крапивна на км 2+597 автомобильной дороги "Климово-Чуровичи"-Забрама в Климовском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32,73</w:t>
            </w:r>
          </w:p>
        </w:tc>
      </w:tr>
      <w:tr>
        <w:trPr>
          <w:trHeight w:val="795" w:hRule="atLeast"/>
        </w:trPr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</w:tr>
      <w:tr>
        <w:trPr>
          <w:trHeight w:val="174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Ремонт моста через реку Десна, с.Старое Хотмирово на км 7+780 автомобильной дороги Селиловичи-Березовка-Шаровичи в Рогнединском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"Транспроект" 2019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установлены ограничения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     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119,92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79,40</w:t>
            </w:r>
          </w:p>
        </w:tc>
      </w:tr>
      <w:tr>
        <w:trPr>
          <w:trHeight w:val="174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Опорная сеть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Ремонт моста через реку Ипуть, с. Старые Бобовичи на км 15+543 автомобильной дороги Новозыбков-Красная Гора в Новозыбковском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2020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имеется      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 требуется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248,76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382,43</w:t>
            </w:r>
          </w:p>
        </w:tc>
      </w:tr>
      <w:tr>
        <w:trPr>
          <w:trHeight w:val="180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Опорная сеть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Кичета, п. Ворчаны на км 28+786 автомобильной дороги Погар-Стародуб в Стародубском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 "Дорсервис-Калининград" 2020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65,36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123,74</w:t>
            </w:r>
          </w:p>
        </w:tc>
      </w:tr>
      <w:tr>
        <w:trPr>
          <w:trHeight w:val="178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Песочня, д. Песочня на км 5+525 автомобильной дороги Карачев-Пальцо в Карачевском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удовлетворительное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ООО "Транспроект" 2020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76,79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145,38</w:t>
            </w:r>
          </w:p>
        </w:tc>
      </w:tr>
      <w:tr>
        <w:trPr>
          <w:trHeight w:val="1770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Пронька по ул. Московская в с.Пролетарск Стародубского района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Стародубского района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ежегодный осмотр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Главная поселковая дорога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15,15</w:t>
            </w:r>
          </w:p>
        </w:tc>
      </w:tr>
      <w:tr>
        <w:trPr>
          <w:trHeight w:val="229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Опорная сеть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 реку Рассуха, с. Гарцево на км 27+856 автомобильной дороги Стародуб-Новые Ивайтенки в Стародубском муниципальном округе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 о результатах предпроектного обследования ООО "Центр дорожного проектирования" 2020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47,48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89,89</w:t>
            </w:r>
          </w:p>
        </w:tc>
      </w:tr>
      <w:tr>
        <w:trPr>
          <w:trHeight w:val="220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Железная, с Алтухово на км 4+720 автомобильной дороги Алтухово-Кокоревка в Навлинском районе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ГКУ  "УАД Брянской области"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Технический отчет о результатах предпроектного обследования Индивидуальный предприниматель</w:t>
              <w:br/>
              <w:t>Сергеев Илья Владимирович 2020 г.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23,29</w:t>
            </w:r>
          </w:p>
        </w:tc>
      </w:tr>
      <w:tr>
        <w:trPr>
          <w:trHeight w:val="1755" w:hRule="atLeast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моста через реку Вабля по ул.Восточная  в с. Новое Село Стародубского района Брянской области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предаварийное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ежегодный осмо</w:t>
            </w:r>
            <w:bookmarkStart w:id="4" w:name="_GoBack"/>
            <w:bookmarkEnd w:id="4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Главная поселковая дорога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13,25</w:t>
            </w:r>
          </w:p>
        </w:tc>
      </w:tr>
    </w:tbl>
    <w:p>
      <w:pPr>
        <w:sectPr>
          <w:headerReference w:type="default" r:id="rId2"/>
          <w:type w:val="nextPage"/>
          <w:pgSz w:orient="landscape" w:w="16838" w:h="11906"/>
          <w:pgMar w:left="1134" w:right="1134" w:header="709" w:top="1560" w:footer="0" w:bottom="851" w:gutter="0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/>
      </w:r>
    </w:p>
    <w:sectPr>
      <w:headerReference w:type="default" r:id="rId3"/>
      <w:type w:val="nextPage"/>
      <w:pgSz w:w="11906" w:h="16838"/>
      <w:pgMar w:left="1701" w:right="850" w:header="708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25</w:t>
    </w:r>
    <w:r>
      <w:rPr>
        <w:sz w:val="24"/>
        <w:szCs w:val="24"/>
        <w:rFonts w:ascii="Times New Roman" w:hAnsi="Times New Roman"/>
      </w:rPr>
      <w:fldChar w:fldCharType="end"/>
    </w:r>
  </w:p>
  <w:p>
    <w:pPr>
      <w:pStyle w:val="Style26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26</w:t>
    </w:r>
    <w:r>
      <w:rPr>
        <w:sz w:val="24"/>
        <w:szCs w:val="24"/>
        <w:rFonts w:ascii="Times New Roman" w:hAnsi="Times New Roman"/>
      </w:rPr>
      <w:fldChar w:fldCharType="end"/>
    </w:r>
  </w:p>
  <w:p>
    <w:pPr>
      <w:pStyle w:val="Style2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b0097"/>
    <w:pPr>
      <w:widowControl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a3"/>
    <w:uiPriority w:val="99"/>
    <w:semiHidden/>
    <w:qFormat/>
    <w:locked/>
    <w:rsid w:val="00330647"/>
    <w:rPr>
      <w:rFonts w:ascii="Segoe UI" w:hAnsi="Segoe UI" w:cs="Segoe UI"/>
      <w:sz w:val="18"/>
      <w:szCs w:val="18"/>
    </w:rPr>
  </w:style>
  <w:style w:type="character" w:styleId="Style15">
    <w:name w:val="Интернет-ссылка"/>
    <w:uiPriority w:val="99"/>
    <w:rsid w:val="00d65cab"/>
    <w:rPr>
      <w:rFonts w:cs="Times New Roman"/>
      <w:color w:val="0563C1"/>
      <w:u w:val="single"/>
    </w:rPr>
  </w:style>
  <w:style w:type="character" w:styleId="ConsPlusNormal" w:customStyle="1">
    <w:name w:val="ConsPlusNormal Знак"/>
    <w:link w:val="ConsPlusNormal"/>
    <w:uiPriority w:val="99"/>
    <w:qFormat/>
    <w:locked/>
    <w:rsid w:val="00421fe4"/>
    <w:rPr>
      <w:sz w:val="22"/>
      <w:lang w:eastAsia="ru-RU"/>
    </w:rPr>
  </w:style>
  <w:style w:type="character" w:styleId="Style16" w:customStyle="1">
    <w:name w:val="Основной текст Знак"/>
    <w:link w:val="a7"/>
    <w:uiPriority w:val="99"/>
    <w:qFormat/>
    <w:locked/>
    <w:rsid w:val="00421fe4"/>
    <w:rPr>
      <w:rFonts w:ascii="Times New Roman" w:hAnsi="Times New Roman" w:cs="Times New Roman"/>
      <w:sz w:val="20"/>
      <w:szCs w:val="20"/>
      <w:lang w:eastAsia="ru-RU"/>
    </w:rPr>
  </w:style>
  <w:style w:type="character" w:styleId="Style17">
    <w:name w:val="Посещённая гиперссылка"/>
    <w:uiPriority w:val="99"/>
    <w:semiHidden/>
    <w:rsid w:val="00cb1c9e"/>
    <w:rPr>
      <w:rFonts w:cs="Times New Roman"/>
      <w:color w:val="954F72"/>
      <w:u w:val="single"/>
    </w:rPr>
  </w:style>
  <w:style w:type="character" w:styleId="Style18" w:customStyle="1">
    <w:name w:val="Верхний колонтитул Знак"/>
    <w:link w:val="aa"/>
    <w:uiPriority w:val="99"/>
    <w:qFormat/>
    <w:locked/>
    <w:rsid w:val="005804d5"/>
    <w:rPr>
      <w:rFonts w:cs="Times New Roman"/>
    </w:rPr>
  </w:style>
  <w:style w:type="character" w:styleId="Style19" w:customStyle="1">
    <w:name w:val="Нижний колонтитул Знак"/>
    <w:link w:val="ac"/>
    <w:uiPriority w:val="99"/>
    <w:qFormat/>
    <w:locked/>
    <w:rsid w:val="005804d5"/>
    <w:rPr>
      <w:rFonts w:cs="Times New Roman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21">
    <w:name w:val="Body Text"/>
    <w:basedOn w:val="Normal"/>
    <w:link w:val="a8"/>
    <w:uiPriority w:val="99"/>
    <w:rsid w:val="00421fe4"/>
    <w:pPr>
      <w:spacing w:lineRule="auto" w:line="240" w:before="0" w:after="0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Style22">
    <w:name w:val="List"/>
    <w:basedOn w:val="Style21"/>
    <w:pPr/>
    <w:rPr>
      <w:rFonts w:cs="Arial Unicode MS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qFormat/>
    <w:rsid w:val="0033064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7d743c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ConsPlusNormal1" w:customStyle="1">
    <w:name w:val="ConsPlusNormal"/>
    <w:link w:val="ConsPlusNormal0"/>
    <w:uiPriority w:val="99"/>
    <w:qFormat/>
    <w:rsid w:val="00421fe4"/>
    <w:pPr>
      <w:widowControl w:val="fals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uiPriority w:val="99"/>
    <w:qFormat/>
    <w:rsid w:val="00421fe4"/>
    <w:pPr>
      <w:widowControl w:val="false"/>
      <w:bidi w:val="0"/>
      <w:spacing w:before="0" w:after="0"/>
      <w:jc w:val="left"/>
    </w:pPr>
    <w:rPr>
      <w:rFonts w:eastAsia="Times New Roman" w:cs="Calibri" w:ascii="Calibri" w:hAnsi="Calibri"/>
      <w:b/>
      <w:color w:val="auto"/>
      <w:kern w:val="0"/>
      <w:sz w:val="22"/>
      <w:szCs w:val="20"/>
      <w:lang w:val="ru-RU" w:eastAsia="ru-RU" w:bidi="ar-SA"/>
    </w:rPr>
  </w:style>
  <w:style w:type="paragraph" w:styleId="Xl65" w:customStyle="1">
    <w:name w:val="xl65"/>
    <w:basedOn w:val="Normal"/>
    <w:uiPriority w:val="99"/>
    <w:qFormat/>
    <w:rsid w:val="00cb1c9e"/>
    <w:pPr>
      <w:shd w:val="clear" w:color="000000" w:fill="00B050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66" w:customStyle="1">
    <w:name w:val="xl66"/>
    <w:basedOn w:val="Normal"/>
    <w:uiPriority w:val="99"/>
    <w:qFormat/>
    <w:rsid w:val="00cb1c9e"/>
    <w:pPr>
      <w:shd w:val="clear" w:color="000000" w:fill="FFFFFF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67" w:customStyle="1">
    <w:name w:val="xl67"/>
    <w:basedOn w:val="Normal"/>
    <w:uiPriority w:val="99"/>
    <w:qFormat/>
    <w:rsid w:val="00cb1c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68" w:customStyle="1">
    <w:name w:val="xl68"/>
    <w:basedOn w:val="Normal"/>
    <w:uiPriority w:val="99"/>
    <w:qFormat/>
    <w:rsid w:val="00cb1c9e"/>
    <w:pPr>
      <w:shd w:val="clear" w:color="000000" w:fill="FFFFFF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69" w:customStyle="1">
    <w:name w:val="xl69"/>
    <w:basedOn w:val="Normal"/>
    <w:uiPriority w:val="99"/>
    <w:qFormat/>
    <w:rsid w:val="00cb1c9e"/>
    <w:pPr>
      <w:shd w:val="clear" w:color="000000" w:fill="FFFFFF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0" w:customStyle="1">
    <w:name w:val="xl70"/>
    <w:basedOn w:val="Normal"/>
    <w:uiPriority w:val="99"/>
    <w:qFormat/>
    <w:rsid w:val="00cb1c9e"/>
    <w:pPr>
      <w:shd w:val="clear" w:color="000000" w:fill="FFFFFF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1" w:customStyle="1">
    <w:name w:val="xl71"/>
    <w:basedOn w:val="Normal"/>
    <w:uiPriority w:val="99"/>
    <w:qFormat/>
    <w:rsid w:val="00cb1c9e"/>
    <w:pPr>
      <w:shd w:val="clear" w:color="000000" w:fill="FFFFFF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2" w:customStyle="1">
    <w:name w:val="xl72"/>
    <w:basedOn w:val="Normal"/>
    <w:uiPriority w:val="99"/>
    <w:qFormat/>
    <w:rsid w:val="00cb1c9e"/>
    <w:pPr>
      <w:shd w:val="clear" w:color="000000" w:fill="FFFF00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3" w:customStyle="1">
    <w:name w:val="xl73"/>
    <w:basedOn w:val="Normal"/>
    <w:uiPriority w:val="99"/>
    <w:qFormat/>
    <w:rsid w:val="00cb1c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4" w:customStyle="1">
    <w:name w:val="xl74"/>
    <w:basedOn w:val="Normal"/>
    <w:uiPriority w:val="99"/>
    <w:qFormat/>
    <w:rsid w:val="00cb1c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5" w:customStyle="1">
    <w:name w:val="xl75"/>
    <w:basedOn w:val="Normal"/>
    <w:uiPriority w:val="99"/>
    <w:qFormat/>
    <w:rsid w:val="00cb1c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6" w:customStyle="1">
    <w:name w:val="xl76"/>
    <w:basedOn w:val="Normal"/>
    <w:uiPriority w:val="99"/>
    <w:qFormat/>
    <w:rsid w:val="00cb1c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7" w:customStyle="1">
    <w:name w:val="xl77"/>
    <w:basedOn w:val="Normal"/>
    <w:uiPriority w:val="99"/>
    <w:qFormat/>
    <w:rsid w:val="00cb1c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8" w:customStyle="1">
    <w:name w:val="xl78"/>
    <w:basedOn w:val="Normal"/>
    <w:uiPriority w:val="99"/>
    <w:qFormat/>
    <w:rsid w:val="00cb1c9e"/>
    <w:pPr>
      <w:pBdr>
        <w:left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79" w:customStyle="1">
    <w:name w:val="xl79"/>
    <w:basedOn w:val="Normal"/>
    <w:uiPriority w:val="99"/>
    <w:qFormat/>
    <w:rsid w:val="00cb1c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80" w:customStyle="1">
    <w:name w:val="xl80"/>
    <w:basedOn w:val="Normal"/>
    <w:uiPriority w:val="99"/>
    <w:qFormat/>
    <w:rsid w:val="00cb1c9e"/>
    <w:pP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Xl81" w:customStyle="1">
    <w:name w:val="xl81"/>
    <w:basedOn w:val="Normal"/>
    <w:uiPriority w:val="99"/>
    <w:qFormat/>
    <w:rsid w:val="00cb1c9e"/>
    <w:pPr>
      <w:shd w:val="clear" w:color="000000" w:fill="FFFFFF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25">
    <w:name w:val="Верхний и нижний колонтитулы"/>
    <w:basedOn w:val="Normal"/>
    <w:qFormat/>
    <w:pPr/>
    <w:rPr/>
  </w:style>
  <w:style w:type="paragraph" w:styleId="Style26">
    <w:name w:val="Header"/>
    <w:basedOn w:val="Normal"/>
    <w:link w:val="ab"/>
    <w:uiPriority w:val="99"/>
    <w:rsid w:val="005804d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Footer"/>
    <w:basedOn w:val="Normal"/>
    <w:link w:val="ad"/>
    <w:uiPriority w:val="99"/>
    <w:rsid w:val="005804d5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086C7-FFE1-45DE-B57B-29D2D214E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Application>LibreOffice/7.0.1.2$Windows_X86_64 LibreOffice_project/7cbcfc562f6eb6708b5ff7d7397325de9e764452</Application>
  <Pages>49</Pages>
  <Words>4587</Words>
  <Characters>28815</Characters>
  <CharactersWithSpaces>31682</CharactersWithSpaces>
  <Paragraphs>1797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2021-10-14T13:49:00Z</dcterms:created>
  <dc:creator>User Windows</dc:creator>
  <dc:description/>
  <dc:language>ru-RU</dc:language>
  <cp:lastModifiedBy>User Windows</cp:lastModifiedBy>
  <cp:lastPrinted>2021-10-21T11:44:00Z</cp:lastPrinted>
  <dcterms:modified xsi:type="dcterms:W3CDTF">2021-10-25T10:12:00Z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